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72"/>
          <w:szCs w:val="72"/>
        </w:rPr>
        <w:t>自行监测方案</w:t>
      </w: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40"/>
          <w:szCs w:val="40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</w:rPr>
        <w:t>企业名称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8"/>
          <w:szCs w:val="48"/>
        </w:rPr>
        <w:t>：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u w:val="single"/>
        </w:rPr>
        <w:t>福建省燕京惠泉啤酒股份有限公司</w:t>
      </w: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40"/>
          <w:szCs w:val="40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</w:rPr>
        <w:t>所在设区市：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u w:val="single"/>
        </w:rPr>
        <w:t>泉州市惠安县</w:t>
      </w: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40"/>
          <w:szCs w:val="40"/>
          <w:u w:val="single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40"/>
          <w:szCs w:val="40"/>
          <w:u w:val="single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40"/>
          <w:szCs w:val="40"/>
          <w:u w:val="single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40"/>
          <w:szCs w:val="40"/>
          <w:u w:val="single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40"/>
          <w:szCs w:val="40"/>
          <w:u w:val="single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40"/>
          <w:szCs w:val="40"/>
          <w:u w:val="single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40"/>
          <w:szCs w:val="40"/>
          <w:u w:val="single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72"/>
          <w:szCs w:val="72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jc w:val="lef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企业基本信息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399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福建省燕京惠泉啤酒股份有限公司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福建省惠安县螺城镇惠泉北路1999号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刘翔宇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环保负责人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程碧桂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8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5973812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啤酒制造，锅炉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废水、废气、噪声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</w:pPr>
    </w:p>
    <w:p>
      <w:pPr>
        <w:widowControl/>
        <w:numPr>
          <w:ilvl w:val="0"/>
          <w:numId w:val="1"/>
        </w:numPr>
        <w:jc w:val="lef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废气监测方案</w:t>
      </w:r>
    </w:p>
    <w:tbl>
      <w:tblPr>
        <w:tblStyle w:val="6"/>
        <w:tblW w:w="8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020"/>
        <w:gridCol w:w="1020"/>
        <w:gridCol w:w="1380"/>
        <w:gridCol w:w="1380"/>
        <w:gridCol w:w="135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552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黑体" w:hAnsi="黑体" w:eastAsia="黑体"/>
                <w:sz w:val="20"/>
                <w:szCs w:val="18"/>
              </w:rPr>
            </w:pPr>
            <w:r>
              <w:rPr>
                <w:rFonts w:ascii="黑体" w:hAnsi="黑体" w:eastAsia="黑体"/>
                <w:sz w:val="20"/>
                <w:szCs w:val="18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黑体" w:hAnsi="黑体" w:eastAsia="黑体"/>
                <w:sz w:val="20"/>
                <w:szCs w:val="18"/>
              </w:rPr>
            </w:pPr>
            <w:r>
              <w:rPr>
                <w:rFonts w:hint="eastAsia" w:ascii="黑体" w:hAnsi="黑体" w:eastAsia="黑体"/>
                <w:sz w:val="20"/>
                <w:szCs w:val="18"/>
              </w:rPr>
              <w:t>监测类别</w:t>
            </w:r>
          </w:p>
        </w:tc>
        <w:tc>
          <w:tcPr>
            <w:tcW w:w="102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黑体" w:hAnsi="黑体" w:eastAsia="黑体"/>
                <w:sz w:val="20"/>
                <w:szCs w:val="18"/>
              </w:rPr>
            </w:pPr>
            <w:r>
              <w:rPr>
                <w:rFonts w:hint="eastAsia" w:ascii="黑体" w:hAnsi="黑体" w:eastAsia="黑体"/>
                <w:sz w:val="20"/>
                <w:szCs w:val="18"/>
              </w:rPr>
              <w:t>监测点位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黑体" w:hAnsi="黑体" w:eastAsia="黑体"/>
                <w:sz w:val="20"/>
                <w:szCs w:val="18"/>
              </w:rPr>
            </w:pPr>
            <w:r>
              <w:rPr>
                <w:rFonts w:hint="eastAsia" w:ascii="黑体" w:hAnsi="黑体" w:eastAsia="黑体"/>
                <w:sz w:val="20"/>
                <w:szCs w:val="18"/>
              </w:rPr>
              <w:t>监测点位名称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黑体" w:hAnsi="黑体" w:eastAsia="黑体"/>
                <w:sz w:val="20"/>
                <w:szCs w:val="18"/>
              </w:rPr>
            </w:pPr>
            <w:r>
              <w:rPr>
                <w:rFonts w:ascii="黑体" w:hAnsi="黑体" w:eastAsia="黑体"/>
                <w:sz w:val="20"/>
                <w:szCs w:val="18"/>
              </w:rPr>
              <w:t>污染物名称</w:t>
            </w:r>
          </w:p>
        </w:tc>
        <w:tc>
          <w:tcPr>
            <w:tcW w:w="135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黑体" w:hAnsi="黑体" w:eastAsia="黑体"/>
                <w:sz w:val="20"/>
                <w:szCs w:val="18"/>
              </w:rPr>
            </w:pPr>
            <w:r>
              <w:rPr>
                <w:rFonts w:hint="eastAsia" w:ascii="黑体" w:hAnsi="黑体" w:eastAsia="黑体"/>
                <w:sz w:val="20"/>
                <w:szCs w:val="18"/>
              </w:rPr>
              <w:t>手工</w:t>
            </w:r>
            <w:r>
              <w:rPr>
                <w:rFonts w:ascii="黑体" w:hAnsi="黑体" w:eastAsia="黑体"/>
                <w:sz w:val="20"/>
                <w:szCs w:val="18"/>
              </w:rPr>
              <w:t>监测频次</w:t>
            </w:r>
          </w:p>
        </w:tc>
        <w:tc>
          <w:tcPr>
            <w:tcW w:w="1752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黑体" w:hAnsi="黑体" w:eastAsia="黑体"/>
                <w:sz w:val="20"/>
                <w:szCs w:val="18"/>
              </w:rPr>
            </w:pPr>
            <w:r>
              <w:rPr>
                <w:rFonts w:hint="eastAsia" w:ascii="黑体" w:hAnsi="黑体" w:eastAsia="黑体"/>
                <w:sz w:val="20"/>
                <w:szCs w:val="18"/>
              </w:rPr>
              <w:t>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552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废气</w:t>
            </w:r>
          </w:p>
        </w:tc>
        <w:tc>
          <w:tcPr>
            <w:tcW w:w="102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FQ0001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恶臭气体排放口1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黑体" w:hAnsi="黑体" w:eastAsia="黑体"/>
                <w:sz w:val="20"/>
                <w:szCs w:val="18"/>
              </w:rPr>
            </w:pPr>
            <w:r>
              <w:rPr>
                <w:rFonts w:hint="eastAsia" w:ascii="宋体" w:hAnsi="宋体"/>
              </w:rPr>
              <w:t>臭气浓度</w:t>
            </w:r>
          </w:p>
        </w:tc>
        <w:tc>
          <w:tcPr>
            <w:tcW w:w="135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1次/半年</w:t>
            </w:r>
          </w:p>
        </w:tc>
        <w:tc>
          <w:tcPr>
            <w:tcW w:w="1752" w:type="dxa"/>
            <w:vMerge w:val="restart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黑体" w:hAnsi="黑体" w:eastAsia="黑体"/>
                <w:sz w:val="20"/>
                <w:szCs w:val="18"/>
              </w:rPr>
            </w:pPr>
            <w:r>
              <w:rPr>
                <w:rFonts w:hint="eastAsia" w:ascii="宋体" w:hAnsi="宋体"/>
              </w:rPr>
              <w:t>恶臭污染物排放标准GB 14554-93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552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废气</w:t>
            </w:r>
          </w:p>
        </w:tc>
        <w:tc>
          <w:tcPr>
            <w:tcW w:w="102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FQ0002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恶臭气体排放口2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臭气浓度</w:t>
            </w:r>
          </w:p>
        </w:tc>
        <w:tc>
          <w:tcPr>
            <w:tcW w:w="135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1次/半年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552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废气</w:t>
            </w:r>
          </w:p>
        </w:tc>
        <w:tc>
          <w:tcPr>
            <w:tcW w:w="102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FQ-21013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锅炉废气排口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氮氧化物</w:t>
            </w:r>
          </w:p>
        </w:tc>
        <w:tc>
          <w:tcPr>
            <w:tcW w:w="135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1次/月</w:t>
            </w:r>
          </w:p>
        </w:tc>
        <w:tc>
          <w:tcPr>
            <w:tcW w:w="1752" w:type="dxa"/>
            <w:vMerge w:val="restart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锅炉大气污染物排放标准GB13271-2014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8" w:hRule="atLeast"/>
          <w:tblHeader/>
          <w:jc w:val="center"/>
        </w:trPr>
        <w:tc>
          <w:tcPr>
            <w:tcW w:w="552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废气</w:t>
            </w:r>
          </w:p>
        </w:tc>
        <w:tc>
          <w:tcPr>
            <w:tcW w:w="102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FQ-21013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锅炉废气排口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二氧化硫、颗粒物、烟气黑度</w:t>
            </w:r>
          </w:p>
        </w:tc>
        <w:tc>
          <w:tcPr>
            <w:tcW w:w="135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1次/年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552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废气</w:t>
            </w:r>
          </w:p>
        </w:tc>
        <w:tc>
          <w:tcPr>
            <w:tcW w:w="102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厂界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厂界废气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adjustRightInd w:val="0"/>
              <w:snapToGrid w:val="0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臭气浓度</w:t>
            </w:r>
          </w:p>
        </w:tc>
        <w:tc>
          <w:tcPr>
            <w:tcW w:w="135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1次/半年</w:t>
            </w:r>
          </w:p>
        </w:tc>
        <w:tc>
          <w:tcPr>
            <w:tcW w:w="1752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恶臭污染物排放标准GB 14554-93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</w:pPr>
    </w:p>
    <w:p>
      <w:pPr>
        <w:widowControl/>
        <w:numPr>
          <w:ilvl w:val="0"/>
          <w:numId w:val="1"/>
        </w:numPr>
        <w:jc w:val="left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噪声监测方案</w:t>
      </w:r>
    </w:p>
    <w:p>
      <w:pPr>
        <w:widowControl/>
        <w:jc w:val="left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</w:pPr>
    </w:p>
    <w:tbl>
      <w:tblPr>
        <w:tblStyle w:val="6"/>
        <w:tblW w:w="83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596"/>
        <w:gridCol w:w="1020"/>
        <w:gridCol w:w="1380"/>
        <w:gridCol w:w="1415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507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黑体" w:hAnsi="黑体" w:eastAsia="黑体"/>
                <w:sz w:val="20"/>
                <w:szCs w:val="18"/>
              </w:rPr>
            </w:pPr>
            <w:r>
              <w:rPr>
                <w:rFonts w:ascii="黑体" w:hAnsi="黑体" w:eastAsia="黑体"/>
                <w:sz w:val="20"/>
                <w:szCs w:val="18"/>
              </w:rPr>
              <w:t>序号</w:t>
            </w:r>
          </w:p>
        </w:tc>
        <w:tc>
          <w:tcPr>
            <w:tcW w:w="1596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黑体" w:hAnsi="黑体" w:eastAsia="黑体"/>
                <w:sz w:val="20"/>
                <w:szCs w:val="18"/>
              </w:rPr>
            </w:pPr>
            <w:r>
              <w:rPr>
                <w:rFonts w:hint="eastAsia" w:ascii="黑体" w:hAnsi="黑体" w:eastAsia="黑体"/>
                <w:sz w:val="20"/>
                <w:szCs w:val="18"/>
              </w:rPr>
              <w:t>监测类别</w:t>
            </w:r>
          </w:p>
        </w:tc>
        <w:tc>
          <w:tcPr>
            <w:tcW w:w="102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黑体" w:hAnsi="黑体" w:eastAsia="黑体"/>
                <w:sz w:val="20"/>
                <w:szCs w:val="18"/>
              </w:rPr>
            </w:pPr>
            <w:r>
              <w:rPr>
                <w:rFonts w:hint="eastAsia" w:ascii="黑体" w:hAnsi="黑体" w:eastAsia="黑体"/>
                <w:sz w:val="20"/>
                <w:szCs w:val="18"/>
              </w:rPr>
              <w:t>监测点位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黑体" w:hAnsi="黑体" w:eastAsia="黑体"/>
                <w:sz w:val="20"/>
                <w:szCs w:val="18"/>
              </w:rPr>
            </w:pPr>
            <w:r>
              <w:rPr>
                <w:rFonts w:hint="eastAsia" w:ascii="黑体" w:hAnsi="黑体" w:eastAsia="黑体"/>
                <w:sz w:val="20"/>
                <w:szCs w:val="18"/>
              </w:rPr>
              <w:t>监测点位名称</w:t>
            </w:r>
          </w:p>
        </w:tc>
        <w:tc>
          <w:tcPr>
            <w:tcW w:w="1415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黑体" w:hAnsi="黑体" w:eastAsia="黑体"/>
                <w:sz w:val="20"/>
                <w:szCs w:val="18"/>
              </w:rPr>
            </w:pPr>
            <w:r>
              <w:rPr>
                <w:rFonts w:hint="eastAsia" w:ascii="黑体" w:hAnsi="黑体" w:eastAsia="黑体"/>
                <w:sz w:val="20"/>
                <w:szCs w:val="18"/>
              </w:rPr>
              <w:t>手工</w:t>
            </w:r>
            <w:r>
              <w:rPr>
                <w:rFonts w:ascii="黑体" w:hAnsi="黑体" w:eastAsia="黑体"/>
                <w:sz w:val="20"/>
                <w:szCs w:val="18"/>
              </w:rPr>
              <w:t>监测频次</w:t>
            </w:r>
          </w:p>
        </w:tc>
        <w:tc>
          <w:tcPr>
            <w:tcW w:w="2473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黑体" w:hAnsi="黑体" w:eastAsia="黑体"/>
                <w:sz w:val="20"/>
                <w:szCs w:val="18"/>
              </w:rPr>
            </w:pPr>
            <w:r>
              <w:rPr>
                <w:rFonts w:hint="eastAsia" w:ascii="黑体" w:hAnsi="黑体" w:eastAsia="黑体"/>
                <w:sz w:val="20"/>
                <w:szCs w:val="18"/>
              </w:rPr>
              <w:t>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jc w:val="center"/>
        </w:trPr>
        <w:tc>
          <w:tcPr>
            <w:tcW w:w="507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黑体" w:hAnsi="黑体" w:eastAsia="黑体"/>
                <w:sz w:val="20"/>
                <w:szCs w:val="18"/>
              </w:rPr>
            </w:pPr>
            <w:r>
              <w:rPr>
                <w:rFonts w:hint="eastAsia" w:ascii="黑体" w:hAnsi="黑体" w:eastAsia="黑体"/>
                <w:sz w:val="20"/>
                <w:szCs w:val="18"/>
              </w:rPr>
              <w:t>1</w:t>
            </w:r>
          </w:p>
        </w:tc>
        <w:tc>
          <w:tcPr>
            <w:tcW w:w="1596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噪声</w:t>
            </w:r>
          </w:p>
        </w:tc>
        <w:tc>
          <w:tcPr>
            <w:tcW w:w="102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厂界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厂界噪声</w:t>
            </w:r>
          </w:p>
        </w:tc>
        <w:tc>
          <w:tcPr>
            <w:tcW w:w="1415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1次/季</w:t>
            </w:r>
          </w:p>
        </w:tc>
        <w:tc>
          <w:tcPr>
            <w:tcW w:w="2473" w:type="dxa"/>
            <w:vAlign w:val="center"/>
          </w:tcPr>
          <w:p>
            <w:pPr>
              <w:pStyle w:val="8"/>
              <w:adjustRightInd w:val="0"/>
              <w:snapToGrid w:val="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工业企业厂界环境噪声排放标准GB12348-2008</w:t>
            </w:r>
          </w:p>
          <w:p>
            <w:pPr>
              <w:pStyle w:val="8"/>
              <w:adjustRightInd w:val="0"/>
              <w:snapToGrid w:val="0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功能区类别 3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四、废水监测方案</w:t>
      </w:r>
    </w:p>
    <w:tbl>
      <w:tblPr>
        <w:tblStyle w:val="6"/>
        <w:tblW w:w="141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666"/>
        <w:gridCol w:w="1318"/>
        <w:gridCol w:w="1608"/>
        <w:gridCol w:w="3048"/>
        <w:gridCol w:w="1428"/>
        <w:gridCol w:w="4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Header/>
          <w:jc w:val="center"/>
        </w:trPr>
        <w:tc>
          <w:tcPr>
            <w:tcW w:w="761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18"/>
              </w:rPr>
            </w:pPr>
            <w:r>
              <w:rPr>
                <w:rFonts w:ascii="Times New Roman" w:hAnsi="Times New Roman" w:eastAsia="黑体"/>
                <w:sz w:val="20"/>
                <w:szCs w:val="18"/>
              </w:rPr>
              <w:t>序号</w:t>
            </w:r>
          </w:p>
        </w:tc>
        <w:tc>
          <w:tcPr>
            <w:tcW w:w="1666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18"/>
              </w:rPr>
            </w:pPr>
            <w:r>
              <w:rPr>
                <w:rFonts w:ascii="Times New Roman" w:hAnsi="Times New Roman" w:eastAsia="黑体"/>
                <w:sz w:val="20"/>
                <w:szCs w:val="18"/>
              </w:rPr>
              <w:t>监测类别</w:t>
            </w:r>
          </w:p>
        </w:tc>
        <w:tc>
          <w:tcPr>
            <w:tcW w:w="1318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18"/>
              </w:rPr>
            </w:pPr>
            <w:r>
              <w:rPr>
                <w:rFonts w:ascii="Times New Roman" w:hAnsi="Times New Roman" w:eastAsia="黑体"/>
                <w:sz w:val="20"/>
                <w:szCs w:val="18"/>
              </w:rPr>
              <w:t>监测点位</w:t>
            </w:r>
          </w:p>
        </w:tc>
        <w:tc>
          <w:tcPr>
            <w:tcW w:w="1608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18"/>
              </w:rPr>
            </w:pPr>
            <w:r>
              <w:rPr>
                <w:rFonts w:ascii="Times New Roman" w:hAnsi="Times New Roman" w:eastAsia="黑体"/>
                <w:sz w:val="20"/>
                <w:szCs w:val="18"/>
              </w:rPr>
              <w:t>监测点位名称</w:t>
            </w:r>
          </w:p>
        </w:tc>
        <w:tc>
          <w:tcPr>
            <w:tcW w:w="3048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18"/>
              </w:rPr>
            </w:pPr>
            <w:r>
              <w:rPr>
                <w:rFonts w:ascii="Times New Roman" w:hAnsi="Times New Roman" w:eastAsia="黑体"/>
                <w:sz w:val="20"/>
                <w:szCs w:val="18"/>
              </w:rPr>
              <w:t>污染物名称</w:t>
            </w:r>
          </w:p>
        </w:tc>
        <w:tc>
          <w:tcPr>
            <w:tcW w:w="1428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18"/>
              </w:rPr>
            </w:pPr>
            <w:r>
              <w:rPr>
                <w:rFonts w:ascii="Times New Roman" w:hAnsi="Times New Roman" w:eastAsia="黑体"/>
                <w:sz w:val="20"/>
                <w:szCs w:val="18"/>
              </w:rPr>
              <w:t>监测频次</w:t>
            </w:r>
          </w:p>
        </w:tc>
        <w:tc>
          <w:tcPr>
            <w:tcW w:w="4272" w:type="dxa"/>
            <w:vAlign w:val="center"/>
          </w:tcPr>
          <w:p>
            <w:pPr>
              <w:pStyle w:val="8"/>
              <w:adjustRightInd w:val="0"/>
              <w:snapToGrid w:val="0"/>
              <w:ind w:left="210" w:leftChars="100" w:right="210" w:rightChars="100"/>
              <w:jc w:val="center"/>
              <w:rPr>
                <w:rFonts w:ascii="Times New Roman" w:hAnsi="Times New Roman" w:eastAsia="黑体"/>
                <w:sz w:val="20"/>
                <w:szCs w:val="18"/>
              </w:rPr>
            </w:pPr>
            <w:r>
              <w:rPr>
                <w:rFonts w:ascii="Times New Roman" w:hAnsi="Times New Roman" w:eastAsia="黑体"/>
                <w:sz w:val="20"/>
                <w:szCs w:val="18"/>
              </w:rPr>
              <w:t>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8" w:hRule="atLeast"/>
          <w:tblHeader/>
          <w:jc w:val="center"/>
        </w:trPr>
        <w:tc>
          <w:tcPr>
            <w:tcW w:w="761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18"/>
              </w:rPr>
            </w:pPr>
            <w:r>
              <w:rPr>
                <w:rFonts w:hint="eastAsia" w:ascii="Times New Roman" w:hAnsi="Times New Roman" w:eastAsia="黑体"/>
                <w:sz w:val="20"/>
                <w:szCs w:val="18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废水</w:t>
            </w:r>
          </w:p>
        </w:tc>
        <w:tc>
          <w:tcPr>
            <w:tcW w:w="1318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WS-21013</w:t>
            </w:r>
          </w:p>
        </w:tc>
        <w:tc>
          <w:tcPr>
            <w:tcW w:w="1608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废水总排口</w:t>
            </w:r>
          </w:p>
        </w:tc>
        <w:tc>
          <w:tcPr>
            <w:tcW w:w="3048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</w:t>
            </w:r>
            <w:r>
              <w:rPr>
                <w:rFonts w:hint="eastAsia" w:ascii="Times New Roman" w:hAnsi="Times New Roman"/>
                <w:szCs w:val="22"/>
              </w:rPr>
              <w:t>H</w:t>
            </w:r>
            <w:r>
              <w:rPr>
                <w:rFonts w:ascii="Times New Roman" w:hAnsi="Times New Roman"/>
                <w:szCs w:val="22"/>
              </w:rPr>
              <w:t>、COD、氨氮、总磷</w:t>
            </w:r>
            <w:r>
              <w:rPr>
                <w:rFonts w:hint="eastAsia" w:ascii="Times New Roman" w:hAnsi="Times New Roman"/>
                <w:szCs w:val="22"/>
              </w:rPr>
              <w:t>、总氮</w:t>
            </w:r>
          </w:p>
        </w:tc>
        <w:tc>
          <w:tcPr>
            <w:tcW w:w="1428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自动监测</w:t>
            </w:r>
          </w:p>
        </w:tc>
        <w:tc>
          <w:tcPr>
            <w:tcW w:w="4272" w:type="dxa"/>
            <w:vMerge w:val="restart"/>
            <w:vAlign w:val="center"/>
          </w:tcPr>
          <w:p>
            <w:pPr>
              <w:pStyle w:val="8"/>
              <w:adjustRightInd w:val="0"/>
              <w:snapToGrid w:val="0"/>
              <w:ind w:left="210" w:leftChars="100" w:right="210" w:rightChars="1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/>
                <w:sz w:val="20"/>
                <w:szCs w:val="18"/>
              </w:rPr>
              <w:t>1、</w:t>
            </w:r>
            <w:r>
              <w:rPr>
                <w:rFonts w:ascii="Times New Roman" w:hAnsi="Times New Roman" w:eastAsia="黑体"/>
                <w:sz w:val="20"/>
                <w:szCs w:val="18"/>
              </w:rPr>
              <w:t>pH执行</w:t>
            </w:r>
            <w:r>
              <w:rPr>
                <w:rFonts w:ascii="Times New Roman" w:hAnsi="Times New Roman"/>
              </w:rPr>
              <w:t>《啤酒工业污染物排放标准》中啤酒企业预处理标准：6-9</w:t>
            </w:r>
          </w:p>
          <w:p>
            <w:pPr>
              <w:pStyle w:val="8"/>
              <w:adjustRightInd w:val="0"/>
              <w:snapToGrid w:val="0"/>
              <w:ind w:left="210" w:leftChars="100" w:right="210" w:rightChars="1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2、</w:t>
            </w:r>
            <w:r>
              <w:rPr>
                <w:rFonts w:ascii="Times New Roman" w:hAnsi="Times New Roman"/>
              </w:rPr>
              <w:t>色度执行《污水排入城镇下水道水质标准》GB/T 31962-2015:64</w:t>
            </w:r>
          </w:p>
          <w:p>
            <w:pPr>
              <w:pStyle w:val="8"/>
              <w:adjustRightInd w:val="0"/>
              <w:snapToGrid w:val="0"/>
              <w:ind w:left="210" w:leftChars="100" w:right="210" w:rightChars="1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3、</w:t>
            </w:r>
            <w:r>
              <w:rPr>
                <w:rFonts w:ascii="Times New Roman" w:hAnsi="Times New Roman"/>
              </w:rPr>
              <w:t>惠安县城市污水处理厂进水水质要求：</w:t>
            </w:r>
          </w:p>
          <w:p>
            <w:pPr>
              <w:pStyle w:val="8"/>
              <w:adjustRightInd w:val="0"/>
              <w:snapToGrid w:val="0"/>
              <w:ind w:left="210" w:leftChars="100" w:right="210" w:right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COD≤300mg/L、BOD5≤150mg/L</w:t>
            </w:r>
          </w:p>
          <w:p>
            <w:pPr>
              <w:pStyle w:val="8"/>
              <w:adjustRightInd w:val="0"/>
              <w:snapToGrid w:val="0"/>
              <w:ind w:left="210" w:leftChars="100" w:right="210" w:right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SS≤200mg/L、氨氮≤30mg/L</w:t>
            </w:r>
          </w:p>
          <w:p>
            <w:pPr>
              <w:pStyle w:val="8"/>
              <w:adjustRightInd w:val="0"/>
              <w:snapToGrid w:val="0"/>
              <w:ind w:left="210" w:leftChars="100" w:right="210" w:right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总氮≤40mg/L、总磷≤3.0mg/L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8" w:hRule="atLeast"/>
          <w:tblHeader/>
          <w:jc w:val="center"/>
        </w:trPr>
        <w:tc>
          <w:tcPr>
            <w:tcW w:w="761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18"/>
              </w:rPr>
            </w:pPr>
            <w:r>
              <w:rPr>
                <w:rFonts w:hint="eastAsia" w:ascii="Times New Roman" w:hAnsi="Times New Roman" w:eastAsia="黑体"/>
                <w:sz w:val="20"/>
                <w:szCs w:val="18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废水</w:t>
            </w:r>
          </w:p>
        </w:tc>
        <w:tc>
          <w:tcPr>
            <w:tcW w:w="1318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WS-21013</w:t>
            </w:r>
          </w:p>
        </w:tc>
        <w:tc>
          <w:tcPr>
            <w:tcW w:w="1608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废水总排口</w:t>
            </w:r>
          </w:p>
        </w:tc>
        <w:tc>
          <w:tcPr>
            <w:tcW w:w="3048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色度、悬浮物、五日生化需氧量</w:t>
            </w:r>
          </w:p>
        </w:tc>
        <w:tc>
          <w:tcPr>
            <w:tcW w:w="1428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手工监测</w:t>
            </w:r>
          </w:p>
          <w:p>
            <w:pPr>
              <w:pStyle w:val="8"/>
              <w:adjustRightInd w:val="0"/>
              <w:snapToGri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1次/半年</w:t>
            </w:r>
          </w:p>
        </w:tc>
        <w:tc>
          <w:tcPr>
            <w:tcW w:w="4272" w:type="dxa"/>
            <w:vMerge w:val="continue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ascii="Times New Roman" w:hAnsi="Times New Roman" w:eastAsia="黑体"/>
                <w:sz w:val="20"/>
                <w:szCs w:val="18"/>
              </w:rPr>
            </w:pPr>
          </w:p>
        </w:tc>
      </w:tr>
    </w:tbl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2" w:charSpace="0"/>
        </w:sectPr>
      </w:pPr>
    </w:p>
    <w:p>
      <w:pPr>
        <w:widowControl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</w:p>
    <w:p>
      <w:pPr>
        <w:widowControl/>
        <w:numPr>
          <w:ilvl w:val="0"/>
          <w:numId w:val="2"/>
        </w:numPr>
        <w:jc w:val="left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监测点位图</w:t>
      </w:r>
    </w:p>
    <w:p>
      <w:pPr>
        <w:widowControl/>
        <w:jc w:val="left"/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5.1噪声监测点位图</w:t>
      </w:r>
    </w:p>
    <w:p>
      <w:pPr>
        <w:widowControl/>
        <w:jc w:val="left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  <w:drawing>
          <wp:inline distT="0" distB="0" distL="114300" distR="114300">
            <wp:extent cx="2945130" cy="5670550"/>
            <wp:effectExtent l="1390650" t="0" r="1379220" b="0"/>
            <wp:docPr id="1" name="图片 1" descr="cd9b4119fcfcf6c130813b8c5c27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9b4119fcfcf6c130813b8c5c272b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45130" cy="56705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5.2废水监测点位图</w:t>
      </w:r>
      <w:r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63545" cy="5658485"/>
            <wp:effectExtent l="1371600" t="0" r="1360805" b="0"/>
            <wp:wrapSquare wrapText="bothSides"/>
            <wp:docPr id="2" name="图片 2" descr="2d983cd4094fada277eec65d2c13e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983cd4094fada277eec65d2c13e9e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63545" cy="56584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5.3锅炉废气监测点位图</w:t>
      </w:r>
    </w:p>
    <w:p>
      <w:pPr>
        <w:widowControl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86710" cy="5267325"/>
            <wp:effectExtent l="1200150" t="0" r="1209040" b="0"/>
            <wp:wrapSquare wrapText="bothSides"/>
            <wp:docPr id="3" name="图片 3" descr="994b71a4094c8fb5615726d6ac2d8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94b71a4094c8fb5615726d6ac2d84c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86710" cy="52673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  <w:br w:type="textWrapping" w:clear="all"/>
      </w:r>
    </w:p>
    <w:p>
      <w:pPr>
        <w:widowControl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</w:pPr>
    </w:p>
    <w:p>
      <w:pPr>
        <w:widowControl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</w:pPr>
    </w:p>
    <w:p>
      <w:pPr>
        <w:widowControl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</w:pPr>
    </w:p>
    <w:p>
      <w:pPr>
        <w:widowControl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</w:pPr>
    </w:p>
    <w:p>
      <w:pPr>
        <w:widowControl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</w:pPr>
    </w:p>
    <w:p>
      <w:pPr>
        <w:widowControl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</w:pPr>
    </w:p>
    <w:p>
      <w:pPr>
        <w:widowControl/>
        <w:rPr>
          <w:rFonts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5.4有组织恶臭废气监测点位图</w:t>
      </w:r>
    </w:p>
    <w:p>
      <w:pPr>
        <w:widowControl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  <w:drawing>
          <wp:inline distT="0" distB="0" distL="114300" distR="114300">
            <wp:extent cx="5266690" cy="2769235"/>
            <wp:effectExtent l="12700" t="12700" r="24130" b="22225"/>
            <wp:docPr id="4" name="图片 4" descr="15746681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74668104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692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</w:p>
    <w:p>
      <w:pPr>
        <w:widowControl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1B93CD"/>
    <w:multiLevelType w:val="singleLevel"/>
    <w:tmpl w:val="8A1B93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0398ACE"/>
    <w:multiLevelType w:val="singleLevel"/>
    <w:tmpl w:val="B0398ACE"/>
    <w:lvl w:ilvl="0" w:tentative="0">
      <w:start w:val="5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7BB7FFF"/>
    <w:rsid w:val="000211AB"/>
    <w:rsid w:val="00055BED"/>
    <w:rsid w:val="001275C4"/>
    <w:rsid w:val="006F410B"/>
    <w:rsid w:val="0072315C"/>
    <w:rsid w:val="00804CC1"/>
    <w:rsid w:val="008A1B28"/>
    <w:rsid w:val="00CD189A"/>
    <w:rsid w:val="00CE0AC5"/>
    <w:rsid w:val="00E2148D"/>
    <w:rsid w:val="67BB7FFF"/>
    <w:rsid w:val="6866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9">
    <w:name w:val="页眉 Char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HQ</Company>
  <Pages>7</Pages>
  <Words>140</Words>
  <Characters>804</Characters>
  <Lines>6</Lines>
  <Paragraphs>1</Paragraphs>
  <TotalTime>13</TotalTime>
  <ScaleCrop>false</ScaleCrop>
  <LinksUpToDate>false</LinksUpToDate>
  <CharactersWithSpaces>943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2019-11-27T09:57:00Z</dcterms:created>
  <dc:creator>YHX</dc:creator>
  <cp:lastModifiedBy>程碧桂</cp:lastModifiedBy>
  <dcterms:modified xsi:type="dcterms:W3CDTF">2021-12-10T13:35:49Z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